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Op 12 tot en met 14 maart 2019 organiseert GGNet voor eigen medewerkers de WijzijnGGNet-dagen.</w:t>
      </w:r>
    </w:p>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We organiseren elke dag een programma vol workshops, lezingen, ontmoetingen en inspirerende activiteiten. Variërend van geaccrediteerde workshops tot en met virtual reality, gaming in de zorg en mindfulness op het werk.</w:t>
      </w:r>
    </w:p>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Jij kiest de dag uit -onder werktijd- met het voor jou meest passende programma en waar je de meeste energie en inspiratie uit haalt.</w:t>
      </w:r>
    </w:p>
    <w:p w:rsidR="00553FE1" w:rsidRPr="00553FE1" w:rsidRDefault="00553FE1" w:rsidP="00553FE1">
      <w:pPr>
        <w:pStyle w:val="BasistekstGGNet"/>
        <w:rPr>
          <w:rFonts w:ascii="Arial" w:hAnsi="Arial" w:cs="Arial"/>
          <w:szCs w:val="20"/>
        </w:rPr>
      </w:pPr>
    </w:p>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 xml:space="preserve">Een van deze workshop op </w:t>
      </w:r>
      <w:r w:rsidRPr="00553FE1">
        <w:rPr>
          <w:rFonts w:ascii="Arial" w:hAnsi="Arial" w:cs="Arial"/>
          <w:b/>
          <w:color w:val="514F4F"/>
          <w:szCs w:val="20"/>
        </w:rPr>
        <w:t>1</w:t>
      </w:r>
      <w:r w:rsidRPr="00553FE1">
        <w:rPr>
          <w:rFonts w:ascii="Arial" w:hAnsi="Arial" w:cs="Arial"/>
          <w:b/>
          <w:color w:val="514F4F"/>
          <w:szCs w:val="20"/>
        </w:rPr>
        <w:t>4</w:t>
      </w:r>
      <w:r w:rsidRPr="00553FE1">
        <w:rPr>
          <w:rFonts w:ascii="Arial" w:hAnsi="Arial" w:cs="Arial"/>
          <w:b/>
          <w:color w:val="514F4F"/>
          <w:szCs w:val="20"/>
        </w:rPr>
        <w:t xml:space="preserve"> maart 2019</w:t>
      </w:r>
      <w:r w:rsidRPr="00553FE1">
        <w:rPr>
          <w:rFonts w:ascii="Arial" w:hAnsi="Arial" w:cs="Arial"/>
          <w:color w:val="514F4F"/>
          <w:szCs w:val="20"/>
        </w:rPr>
        <w:t xml:space="preserve"> is van de heer </w:t>
      </w:r>
      <w:r w:rsidRPr="00553FE1">
        <w:rPr>
          <w:rFonts w:ascii="Arial" w:hAnsi="Arial" w:cs="Arial"/>
          <w:color w:val="514F4F"/>
          <w:szCs w:val="20"/>
        </w:rPr>
        <w:t>Dr. Paul Naarding, psychiater en senior onderzoeker, kliniek voortgezette behandeling GGNet Ouderen Apeldoorn</w:t>
      </w:r>
    </w:p>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Mevrouw S. Wassink MSc, Verpleegkundig Specialist, GGNet Ouderen Zutphen</w:t>
      </w:r>
    </w:p>
    <w:p w:rsidR="00553FE1" w:rsidRPr="00553FE1" w:rsidRDefault="00553FE1" w:rsidP="00553FE1">
      <w:pPr>
        <w:spacing w:after="128" w:line="240" w:lineRule="auto"/>
        <w:rPr>
          <w:rFonts w:ascii="Arial" w:hAnsi="Arial" w:cs="Arial"/>
          <w:color w:val="514F4F"/>
          <w:szCs w:val="20"/>
        </w:rPr>
      </w:pPr>
      <w:r w:rsidRPr="00553FE1">
        <w:rPr>
          <w:rFonts w:ascii="Arial" w:hAnsi="Arial" w:cs="Arial"/>
          <w:color w:val="514F4F"/>
          <w:szCs w:val="20"/>
        </w:rPr>
        <w:t xml:space="preserve">Mevrouw Drs. F. Versteegen, klinisch psycholoog, deeltijdbehandeling GGNet Ouderen Zutphen </w:t>
      </w:r>
    </w:p>
    <w:p w:rsidR="00553FE1" w:rsidRPr="00553FE1" w:rsidRDefault="00553FE1" w:rsidP="00553FE1">
      <w:pPr>
        <w:rPr>
          <w:rFonts w:ascii="Arial" w:hAnsi="Arial" w:cs="Arial"/>
          <w:color w:val="auto"/>
          <w:szCs w:val="20"/>
          <w:lang w:eastAsia="en-US"/>
        </w:rPr>
      </w:pPr>
      <w:r w:rsidRPr="00553FE1">
        <w:rPr>
          <w:rFonts w:ascii="Arial" w:hAnsi="Arial" w:cs="Arial"/>
          <w:color w:val="514F4F"/>
          <w:szCs w:val="20"/>
        </w:rPr>
        <w:t xml:space="preserve"> </w:t>
      </w:r>
    </w:p>
    <w:p w:rsidR="00553FE1" w:rsidRPr="00553FE1" w:rsidRDefault="00553FE1" w:rsidP="001A0A96">
      <w:pPr>
        <w:spacing w:line="240" w:lineRule="atLeast"/>
        <w:rPr>
          <w:rFonts w:ascii="Arial" w:hAnsi="Arial" w:cs="Arial"/>
          <w:color w:val="auto"/>
          <w:szCs w:val="20"/>
          <w:lang w:eastAsia="en-US"/>
        </w:rPr>
      </w:pPr>
    </w:p>
    <w:p w:rsidR="001A0A96" w:rsidRPr="00553FE1" w:rsidRDefault="001A0A96" w:rsidP="001A0A96">
      <w:pPr>
        <w:spacing w:line="240" w:lineRule="atLeast"/>
        <w:rPr>
          <w:rFonts w:ascii="Arial" w:hAnsi="Arial" w:cs="Arial"/>
          <w:color w:val="auto"/>
          <w:szCs w:val="20"/>
          <w:lang w:eastAsia="en-US"/>
        </w:rPr>
      </w:pPr>
      <w:r w:rsidRPr="00553FE1">
        <w:rPr>
          <w:rFonts w:ascii="Arial" w:hAnsi="Arial" w:cs="Arial"/>
          <w:color w:val="auto"/>
          <w:szCs w:val="20"/>
          <w:lang w:eastAsia="en-US"/>
        </w:rPr>
        <w:t>Datum:</w:t>
      </w:r>
      <w:r w:rsidRPr="00553FE1">
        <w:rPr>
          <w:rFonts w:ascii="Arial" w:hAnsi="Arial" w:cs="Arial"/>
          <w:color w:val="auto"/>
          <w:szCs w:val="20"/>
          <w:lang w:eastAsia="en-US"/>
        </w:rPr>
        <w:tab/>
        <w:t xml:space="preserve">Donderdag </w:t>
      </w:r>
      <w:r w:rsidRPr="00553FE1">
        <w:rPr>
          <w:rFonts w:ascii="Arial" w:hAnsi="Arial" w:cs="Arial"/>
          <w:b/>
          <w:color w:val="auto"/>
          <w:szCs w:val="20"/>
          <w:lang w:eastAsia="en-US"/>
        </w:rPr>
        <w:t>14 maart 2019</w:t>
      </w:r>
      <w:bookmarkStart w:id="0" w:name="_GoBack"/>
      <w:bookmarkEnd w:id="0"/>
    </w:p>
    <w:p w:rsidR="001A0A96" w:rsidRPr="00553FE1" w:rsidRDefault="001A0A96" w:rsidP="001A0A96">
      <w:pPr>
        <w:spacing w:line="240" w:lineRule="atLeast"/>
        <w:rPr>
          <w:rFonts w:ascii="Arial" w:hAnsi="Arial" w:cs="Arial"/>
          <w:color w:val="auto"/>
          <w:szCs w:val="20"/>
          <w:lang w:eastAsia="en-US"/>
        </w:rPr>
      </w:pPr>
      <w:r w:rsidRPr="00553FE1">
        <w:rPr>
          <w:rFonts w:ascii="Arial" w:hAnsi="Arial" w:cs="Arial"/>
          <w:color w:val="auto"/>
          <w:szCs w:val="20"/>
          <w:lang w:eastAsia="en-US"/>
        </w:rPr>
        <w:t>Tijd:</w:t>
      </w:r>
      <w:r w:rsidRPr="00553FE1">
        <w:rPr>
          <w:rFonts w:ascii="Arial" w:hAnsi="Arial" w:cs="Arial"/>
          <w:color w:val="auto"/>
          <w:szCs w:val="20"/>
          <w:lang w:eastAsia="en-US"/>
        </w:rPr>
        <w:tab/>
      </w:r>
      <w:r w:rsidRPr="00553FE1">
        <w:rPr>
          <w:rFonts w:ascii="Arial" w:hAnsi="Arial" w:cs="Arial"/>
          <w:color w:val="auto"/>
          <w:szCs w:val="20"/>
          <w:lang w:eastAsia="en-US"/>
        </w:rPr>
        <w:tab/>
        <w:t>13:00 – 16:00 uur</w:t>
      </w:r>
    </w:p>
    <w:p w:rsidR="001A0A96" w:rsidRPr="00553FE1" w:rsidRDefault="001A0A96" w:rsidP="001A0A96">
      <w:pPr>
        <w:spacing w:line="240" w:lineRule="atLeast"/>
        <w:rPr>
          <w:rFonts w:ascii="Arial" w:hAnsi="Arial" w:cs="Arial"/>
          <w:color w:val="auto"/>
          <w:szCs w:val="20"/>
          <w:lang w:eastAsia="en-US"/>
        </w:rPr>
      </w:pPr>
      <w:r w:rsidRPr="00553FE1">
        <w:rPr>
          <w:rFonts w:ascii="Arial" w:hAnsi="Arial" w:cs="Arial"/>
          <w:color w:val="auto"/>
          <w:szCs w:val="20"/>
          <w:lang w:eastAsia="en-US"/>
        </w:rPr>
        <w:t>Plaats:</w:t>
      </w:r>
      <w:r w:rsidRPr="00553FE1">
        <w:rPr>
          <w:rFonts w:ascii="Arial" w:hAnsi="Arial" w:cs="Arial"/>
          <w:color w:val="auto"/>
          <w:szCs w:val="20"/>
          <w:lang w:eastAsia="en-US"/>
        </w:rPr>
        <w:tab/>
      </w:r>
      <w:r w:rsidRPr="00553FE1">
        <w:rPr>
          <w:rFonts w:ascii="Arial" w:hAnsi="Arial" w:cs="Arial"/>
          <w:color w:val="auto"/>
          <w:szCs w:val="20"/>
          <w:lang w:eastAsia="en-US"/>
        </w:rPr>
        <w:tab/>
        <w:t>Apeldoorn</w:t>
      </w:r>
    </w:p>
    <w:p w:rsidR="001A0A96" w:rsidRPr="00553FE1" w:rsidRDefault="001A0A96" w:rsidP="001A0A96">
      <w:pPr>
        <w:spacing w:line="240" w:lineRule="atLeast"/>
        <w:rPr>
          <w:rFonts w:ascii="Arial" w:hAnsi="Arial" w:cs="Arial"/>
          <w:color w:val="auto"/>
          <w:szCs w:val="20"/>
          <w:lang w:eastAsia="en-US"/>
        </w:rPr>
      </w:pPr>
    </w:p>
    <w:p w:rsidR="001A0A96" w:rsidRPr="00553FE1" w:rsidRDefault="001A0A96" w:rsidP="001A0A96">
      <w:pPr>
        <w:rPr>
          <w:rFonts w:ascii="Arial" w:hAnsi="Arial" w:cs="Arial"/>
          <w:color w:val="auto"/>
          <w:szCs w:val="20"/>
        </w:rPr>
      </w:pPr>
    </w:p>
    <w:p w:rsidR="001A0A96" w:rsidRPr="00553FE1" w:rsidRDefault="001A0A96" w:rsidP="001A0A96">
      <w:pPr>
        <w:rPr>
          <w:rFonts w:ascii="Arial" w:hAnsi="Arial" w:cs="Arial"/>
          <w:b/>
          <w:color w:val="auto"/>
          <w:szCs w:val="20"/>
        </w:rPr>
      </w:pPr>
    </w:p>
    <w:p w:rsidR="001A0A96" w:rsidRPr="00553FE1" w:rsidRDefault="001A0A96" w:rsidP="001A0A96">
      <w:pPr>
        <w:spacing w:line="240" w:lineRule="atLeast"/>
        <w:rPr>
          <w:rFonts w:ascii="Arial" w:hAnsi="Arial" w:cs="Arial"/>
          <w:b/>
          <w:color w:val="auto"/>
          <w:szCs w:val="20"/>
        </w:rPr>
      </w:pPr>
      <w:r w:rsidRPr="00553FE1">
        <w:rPr>
          <w:rFonts w:ascii="Arial" w:hAnsi="Arial" w:cs="Arial"/>
          <w:b/>
          <w:color w:val="auto"/>
          <w:szCs w:val="20"/>
          <w:lang w:eastAsia="en-US"/>
        </w:rPr>
        <w:t xml:space="preserve">Wijzijnggnetouderen: </w:t>
      </w:r>
      <w:r w:rsidRPr="00553FE1">
        <w:rPr>
          <w:rFonts w:ascii="Arial" w:hAnsi="Arial" w:cs="Arial"/>
          <w:b/>
          <w:color w:val="auto"/>
          <w:szCs w:val="20"/>
        </w:rPr>
        <w:t>(Wetenschappelijk) onderzoek en behandelaanbod</w:t>
      </w:r>
    </w:p>
    <w:p w:rsidR="001A0A96" w:rsidRPr="00553FE1" w:rsidRDefault="001A0A96" w:rsidP="001A0A96">
      <w:pPr>
        <w:rPr>
          <w:rFonts w:ascii="Arial" w:hAnsi="Arial" w:cs="Arial"/>
          <w:color w:val="auto"/>
          <w:szCs w:val="20"/>
        </w:rPr>
      </w:pPr>
      <w:r w:rsidRPr="00553FE1">
        <w:rPr>
          <w:rFonts w:ascii="Arial" w:hAnsi="Arial" w:cs="Arial"/>
          <w:color w:val="auto"/>
          <w:szCs w:val="20"/>
        </w:rPr>
        <w:t xml:space="preserve">GGNet Ouderen richt zich op de psychiatrische behandeling van Ouderen. Dit is de leeftijdsgroep van 65 jaar en ouder. Belangrijkste kenmerk van deze doelgroep is dat zij zich vaak presenteert met een combinatie van problemen; naast de verwijsproblemen op gebied van gedrags- en emotionele stoornissen, is er vaak ook sprake van aan de leeftijd gerelateerde gezondheidsproblemen, stoornissen in geheugen of andere hersenfuncties. Bij GGNet Ouderen wordt veel geïnvesteerd in  onderzoek en opleiding. Dit om waar mogelijk te innoveren in het behandelaanbod en voorop te lopen in de behandeling en begeleiding van ouderen in de GGZ met complexe problemen. Op deze middag worden resultaten van wetenschappelijk onderzoek gepresenteerd en de vertaling hiervan in het voor deze doelgroep specifieke behandelaanbod. Er wordt o.a. ingegaan op autisme bij ouderen, depressie en functioneel herstel en de invloed van leefstijlfactoren op psychisch functioneren en welbevinden. Ook het onderzoek naar Schema-ECT, een grensverleggende studie naar de veranderingen in het brein bij ECT en resultaten van het praktijkonderzoek naar het voorkomen van verslaving bij Ouderen worden behandeld.   </w:t>
      </w:r>
    </w:p>
    <w:p w:rsidR="00B125EF" w:rsidRPr="00553FE1" w:rsidRDefault="00B125EF" w:rsidP="00B125EF">
      <w:pPr>
        <w:pStyle w:val="BasistekstGGNet"/>
        <w:rPr>
          <w:rFonts w:ascii="Arial" w:hAnsi="Arial" w:cs="Arial"/>
          <w:color w:val="auto"/>
          <w:szCs w:val="20"/>
        </w:rPr>
      </w:pPr>
    </w:p>
    <w:sectPr w:rsidR="00B125EF" w:rsidRPr="00553FE1"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96" w:rsidRPr="00F95091" w:rsidRDefault="001A0A96" w:rsidP="00F95091">
      <w:pPr>
        <w:pStyle w:val="Voettekst"/>
      </w:pPr>
    </w:p>
  </w:endnote>
  <w:endnote w:type="continuationSeparator" w:id="0">
    <w:p w:rsidR="001A0A96" w:rsidRPr="00F95091" w:rsidRDefault="001A0A96"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96" w:rsidRPr="00F95091" w:rsidRDefault="001A0A96" w:rsidP="00F95091">
      <w:pPr>
        <w:pStyle w:val="Voettekst"/>
      </w:pPr>
    </w:p>
  </w:footnote>
  <w:footnote w:type="continuationSeparator" w:id="0">
    <w:p w:rsidR="001A0A96" w:rsidRPr="00F95091" w:rsidRDefault="001A0A96"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96"/>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A0A96"/>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3FE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chartTrackingRefBased/>
  <w15:docId w15:val="{6D1A9E4C-11B0-42AE-B990-D136731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1949-8132-4547-830A-C1ECABB9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2</cp:revision>
  <cp:lastPrinted>2018-09-26T13:43:00Z</cp:lastPrinted>
  <dcterms:created xsi:type="dcterms:W3CDTF">2018-12-18T07:29:00Z</dcterms:created>
  <dcterms:modified xsi:type="dcterms:W3CDTF">2018-12-18T07:29:00Z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